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FF" w:rsidRPr="00274F6C" w:rsidRDefault="00406EFF" w:rsidP="00406EFF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74F6C">
        <w:rPr>
          <w:rFonts w:ascii="Cambria" w:hAnsi="Cambria"/>
          <w:b/>
          <w:bCs/>
          <w:sz w:val="22"/>
          <w:szCs w:val="22"/>
        </w:rPr>
        <w:t>Príloha č.6 - Monitorovacia správa – príklad</w:t>
      </w:r>
    </w:p>
    <w:p w:rsidR="00406EFF" w:rsidRDefault="00406EFF" w:rsidP="00406EFF">
      <w:pPr>
        <w:pStyle w:val="Default"/>
        <w:rPr>
          <w:rFonts w:ascii="Cambria" w:hAnsi="Cambria"/>
          <w:sz w:val="22"/>
          <w:szCs w:val="22"/>
        </w:rPr>
      </w:pPr>
    </w:p>
    <w:p w:rsidR="00274F6C" w:rsidRDefault="00274F6C" w:rsidP="00406EFF">
      <w:pPr>
        <w:pStyle w:val="Default"/>
        <w:rPr>
          <w:rFonts w:ascii="Cambria" w:hAnsi="Cambria"/>
          <w:i/>
          <w:sz w:val="22"/>
          <w:szCs w:val="22"/>
        </w:rPr>
      </w:pPr>
      <w:r w:rsidRPr="00274F6C">
        <w:rPr>
          <w:rFonts w:ascii="Cambria" w:hAnsi="Cambria"/>
          <w:i/>
          <w:sz w:val="22"/>
          <w:szCs w:val="22"/>
        </w:rPr>
        <w:t xml:space="preserve">Tabuľková časť </w:t>
      </w:r>
      <w:r>
        <w:rPr>
          <w:rFonts w:ascii="Cambria" w:hAnsi="Cambria"/>
          <w:i/>
          <w:sz w:val="22"/>
          <w:szCs w:val="22"/>
        </w:rPr>
        <w:t>–</w:t>
      </w:r>
      <w:r w:rsidRPr="00274F6C">
        <w:rPr>
          <w:rFonts w:ascii="Cambria" w:hAnsi="Cambria"/>
          <w:i/>
          <w:sz w:val="22"/>
          <w:szCs w:val="22"/>
        </w:rPr>
        <w:t xml:space="preserve"> Príklad v zmysle aktuálnej Metodiky na vypracovanie PHSR obce</w:t>
      </w:r>
    </w:p>
    <w:p w:rsidR="008E0F8F" w:rsidRPr="00274F6C" w:rsidRDefault="008E0F8F" w:rsidP="00406EFF">
      <w:pPr>
        <w:pStyle w:val="Default"/>
        <w:rPr>
          <w:rFonts w:ascii="Cambria" w:hAnsi="Cambria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710"/>
        <w:gridCol w:w="1183"/>
        <w:gridCol w:w="50"/>
        <w:gridCol w:w="8"/>
        <w:gridCol w:w="1303"/>
        <w:gridCol w:w="1358"/>
        <w:gridCol w:w="1556"/>
        <w:gridCol w:w="17"/>
        <w:gridCol w:w="1398"/>
        <w:gridCol w:w="41"/>
        <w:gridCol w:w="1313"/>
        <w:gridCol w:w="47"/>
        <w:gridCol w:w="1389"/>
        <w:gridCol w:w="20"/>
        <w:gridCol w:w="1413"/>
        <w:gridCol w:w="9"/>
      </w:tblGrid>
      <w:tr w:rsidR="00406EFF" w:rsidRPr="00274F6C" w:rsidTr="00274F6C">
        <w:trPr>
          <w:trHeight w:val="98"/>
        </w:trPr>
        <w:tc>
          <w:tcPr>
            <w:tcW w:w="5000" w:type="pct"/>
            <w:gridSpan w:val="17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74F6C">
              <w:rPr>
                <w:rFonts w:ascii="Cambria" w:hAnsi="Cambria"/>
                <w:b/>
                <w:bCs/>
                <w:sz w:val="22"/>
                <w:szCs w:val="22"/>
              </w:rPr>
              <w:t>Monitorovacia správa</w:t>
            </w:r>
          </w:p>
        </w:tc>
      </w:tr>
      <w:tr w:rsidR="00406EFF" w:rsidRPr="00274F6C" w:rsidTr="00274F6C">
        <w:trPr>
          <w:trHeight w:val="351"/>
        </w:trPr>
        <w:tc>
          <w:tcPr>
            <w:tcW w:w="497" w:type="pct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Úroveň prvku stratégie </w:t>
            </w:r>
          </w:p>
        </w:tc>
        <w:tc>
          <w:tcPr>
            <w:tcW w:w="604" w:type="pct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Opis prvkov stratégie </w:t>
            </w:r>
          </w:p>
        </w:tc>
        <w:tc>
          <w:tcPr>
            <w:tcW w:w="396" w:type="pct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Plánovaný termín realizácie </w:t>
            </w:r>
          </w:p>
        </w:tc>
        <w:tc>
          <w:tcPr>
            <w:tcW w:w="486" w:type="pct"/>
            <w:gridSpan w:val="3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Ukazovateľ výstupu </w:t>
            </w:r>
          </w:p>
        </w:tc>
        <w:tc>
          <w:tcPr>
            <w:tcW w:w="464" w:type="pct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Počiatočná hodnota ukazovateľa </w:t>
            </w:r>
          </w:p>
        </w:tc>
        <w:tc>
          <w:tcPr>
            <w:tcW w:w="550" w:type="pct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Plánovaná hodnota ukazovateľa </w:t>
            </w:r>
          </w:p>
        </w:tc>
        <w:tc>
          <w:tcPr>
            <w:tcW w:w="500" w:type="pct"/>
            <w:gridSpan w:val="2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Skutočná hodnota ukazovateľa </w:t>
            </w:r>
          </w:p>
        </w:tc>
        <w:tc>
          <w:tcPr>
            <w:tcW w:w="500" w:type="pct"/>
            <w:gridSpan w:val="3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Rozpočet </w:t>
            </w:r>
            <w:r w:rsidR="008E0F8F">
              <w:rPr>
                <w:rFonts w:ascii="Cambria" w:hAnsi="Cambria"/>
                <w:b/>
                <w:bCs/>
                <w:sz w:val="20"/>
                <w:szCs w:val="20"/>
              </w:rPr>
              <w:t>obce</w:t>
            </w: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od do </w:t>
            </w:r>
          </w:p>
        </w:tc>
        <w:tc>
          <w:tcPr>
            <w:tcW w:w="500" w:type="pct"/>
            <w:gridSpan w:val="2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Externé zdroje </w:t>
            </w:r>
          </w:p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od do </w:t>
            </w:r>
          </w:p>
        </w:tc>
        <w:tc>
          <w:tcPr>
            <w:tcW w:w="503" w:type="pct"/>
            <w:gridSpan w:val="2"/>
            <w:shd w:val="pct15" w:color="auto" w:fill="auto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Realizácia aktivít </w:t>
            </w:r>
            <w:r w:rsidRPr="00274F6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od do </w:t>
            </w:r>
            <w:r w:rsidRPr="00274F6C">
              <w:rPr>
                <w:rFonts w:ascii="Cambria" w:hAnsi="Cambria"/>
                <w:b/>
                <w:bCs/>
                <w:sz w:val="20"/>
                <w:szCs w:val="20"/>
              </w:rPr>
              <w:t xml:space="preserve">a plán na obdobie od do </w:t>
            </w:r>
            <w:r w:rsidR="008E0F8F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</w:tr>
      <w:tr w:rsidR="00274F6C" w:rsidRPr="00274F6C" w:rsidTr="00274F6C">
        <w:trPr>
          <w:trHeight w:val="100"/>
        </w:trPr>
        <w:tc>
          <w:tcPr>
            <w:tcW w:w="497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Cieľ 2 </w:t>
            </w:r>
          </w:p>
        </w:tc>
        <w:tc>
          <w:tcPr>
            <w:tcW w:w="4503" w:type="pct"/>
            <w:gridSpan w:val="16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Vytvoriť fungujúci systém poradenstva v školstve – Priorita 3 </w:t>
            </w:r>
          </w:p>
        </w:tc>
      </w:tr>
      <w:tr w:rsidR="00274F6C" w:rsidRPr="00274F6C" w:rsidTr="00274F6C">
        <w:trPr>
          <w:trHeight w:val="226"/>
        </w:trPr>
        <w:tc>
          <w:tcPr>
            <w:tcW w:w="497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Opatrenie 2.1 </w:t>
            </w:r>
          </w:p>
        </w:tc>
        <w:tc>
          <w:tcPr>
            <w:tcW w:w="4503" w:type="pct"/>
            <w:gridSpan w:val="16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Vytvoriť fungujúci systém poradenstva v školstve pre rôzne cieľové skupiny – rodičia, deti, pedagógovia, riaditelia </w:t>
            </w:r>
          </w:p>
        </w:tc>
      </w:tr>
      <w:tr w:rsidR="00406EFF" w:rsidRPr="00274F6C" w:rsidTr="00274F6C">
        <w:trPr>
          <w:gridAfter w:val="1"/>
          <w:wAfter w:w="3" w:type="pct"/>
          <w:trHeight w:val="860"/>
        </w:trPr>
        <w:tc>
          <w:tcPr>
            <w:tcW w:w="497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A. 2.1.1 </w:t>
            </w:r>
          </w:p>
        </w:tc>
        <w:tc>
          <w:tcPr>
            <w:tcW w:w="604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Zvýšiť počet odborníkov v psychologickom a špeciálnom- pedagogickom poradenstve pre potreby školstva </w:t>
            </w:r>
          </w:p>
        </w:tc>
        <w:tc>
          <w:tcPr>
            <w:tcW w:w="415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2012- 2015 </w:t>
            </w:r>
          </w:p>
        </w:tc>
        <w:tc>
          <w:tcPr>
            <w:tcW w:w="467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počet odborníkov </w:t>
            </w:r>
          </w:p>
        </w:tc>
        <w:tc>
          <w:tcPr>
            <w:tcW w:w="464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  <w:tc>
          <w:tcPr>
            <w:tcW w:w="556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3 </w:t>
            </w:r>
          </w:p>
        </w:tc>
        <w:tc>
          <w:tcPr>
            <w:tcW w:w="511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464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18 000,00 </w:t>
            </w:r>
          </w:p>
        </w:tc>
        <w:tc>
          <w:tcPr>
            <w:tcW w:w="510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0 </w:t>
            </w:r>
          </w:p>
        </w:tc>
        <w:tc>
          <w:tcPr>
            <w:tcW w:w="508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6EFF" w:rsidRPr="00274F6C" w:rsidTr="00274F6C">
        <w:trPr>
          <w:gridAfter w:val="1"/>
          <w:wAfter w:w="3" w:type="pct"/>
          <w:trHeight w:val="479"/>
        </w:trPr>
        <w:tc>
          <w:tcPr>
            <w:tcW w:w="497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A. 2.1.2 </w:t>
            </w:r>
          </w:p>
        </w:tc>
        <w:tc>
          <w:tcPr>
            <w:tcW w:w="604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Vytvoriť systém podpory tvorby a realizácie veľkých projektov v školstve </w:t>
            </w:r>
          </w:p>
        </w:tc>
        <w:tc>
          <w:tcPr>
            <w:tcW w:w="415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2012 </w:t>
            </w:r>
          </w:p>
        </w:tc>
        <w:tc>
          <w:tcPr>
            <w:tcW w:w="467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Počet projektov </w:t>
            </w:r>
          </w:p>
        </w:tc>
        <w:tc>
          <w:tcPr>
            <w:tcW w:w="464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556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6 </w:t>
            </w:r>
          </w:p>
        </w:tc>
        <w:tc>
          <w:tcPr>
            <w:tcW w:w="511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5 </w:t>
            </w:r>
          </w:p>
        </w:tc>
        <w:tc>
          <w:tcPr>
            <w:tcW w:w="464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0 </w:t>
            </w:r>
          </w:p>
        </w:tc>
        <w:tc>
          <w:tcPr>
            <w:tcW w:w="510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35 000,00 </w:t>
            </w:r>
          </w:p>
        </w:tc>
        <w:tc>
          <w:tcPr>
            <w:tcW w:w="508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6EFF" w:rsidRPr="00274F6C" w:rsidTr="00274F6C">
        <w:trPr>
          <w:trHeight w:val="606"/>
        </w:trPr>
        <w:tc>
          <w:tcPr>
            <w:tcW w:w="497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A. 2.1.3 </w:t>
            </w:r>
          </w:p>
        </w:tc>
        <w:tc>
          <w:tcPr>
            <w:tcW w:w="604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Posilniť systém poradenstva v oblasti riadenia škôl a školských zariadení </w:t>
            </w:r>
          </w:p>
        </w:tc>
        <w:tc>
          <w:tcPr>
            <w:tcW w:w="418" w:type="pct"/>
            <w:gridSpan w:val="3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2013 </w:t>
            </w:r>
          </w:p>
        </w:tc>
        <w:tc>
          <w:tcPr>
            <w:tcW w:w="464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1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 xml:space="preserve">0 </w:t>
            </w:r>
          </w:p>
        </w:tc>
        <w:tc>
          <w:tcPr>
            <w:tcW w:w="510" w:type="pct"/>
            <w:gridSpan w:val="2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11" w:type="pct"/>
            <w:gridSpan w:val="3"/>
          </w:tcPr>
          <w:p w:rsidR="00406EFF" w:rsidRPr="00274F6C" w:rsidRDefault="00406EFF" w:rsidP="008E0F8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74F6C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</w:tbl>
    <w:p w:rsidR="003A40B2" w:rsidRPr="00274F6C" w:rsidRDefault="003A40B2">
      <w:pPr>
        <w:rPr>
          <w:rFonts w:ascii="Cambria" w:hAnsi="Cambria"/>
          <w:sz w:val="22"/>
          <w:szCs w:val="22"/>
        </w:rPr>
      </w:pPr>
    </w:p>
    <w:p w:rsidR="008E0F8F" w:rsidRDefault="008E0F8F" w:rsidP="00406EFF">
      <w:pPr>
        <w:pStyle w:val="Default"/>
        <w:rPr>
          <w:rFonts w:ascii="Cambria" w:hAnsi="Cambria"/>
          <w:bCs/>
          <w:i/>
          <w:sz w:val="22"/>
          <w:szCs w:val="22"/>
        </w:rPr>
      </w:pPr>
    </w:p>
    <w:p w:rsidR="008E0F8F" w:rsidRDefault="008E0F8F" w:rsidP="00406EFF">
      <w:pPr>
        <w:pStyle w:val="Default"/>
        <w:rPr>
          <w:rFonts w:ascii="Cambria" w:hAnsi="Cambria"/>
          <w:bCs/>
          <w:i/>
          <w:sz w:val="22"/>
          <w:szCs w:val="22"/>
        </w:rPr>
      </w:pPr>
    </w:p>
    <w:p w:rsidR="008E0F8F" w:rsidRDefault="008E0F8F" w:rsidP="00406EFF">
      <w:pPr>
        <w:pStyle w:val="Default"/>
        <w:rPr>
          <w:rFonts w:ascii="Cambria" w:hAnsi="Cambria"/>
          <w:bCs/>
          <w:i/>
          <w:sz w:val="22"/>
          <w:szCs w:val="22"/>
        </w:rPr>
      </w:pPr>
    </w:p>
    <w:p w:rsidR="00274F6C" w:rsidRDefault="00406EFF" w:rsidP="00406EFF">
      <w:pPr>
        <w:pStyle w:val="Default"/>
        <w:rPr>
          <w:rFonts w:ascii="Cambria" w:hAnsi="Cambria"/>
          <w:i/>
          <w:sz w:val="22"/>
          <w:szCs w:val="22"/>
        </w:rPr>
      </w:pPr>
      <w:r w:rsidRPr="00274F6C">
        <w:rPr>
          <w:rFonts w:ascii="Cambria" w:hAnsi="Cambria"/>
          <w:bCs/>
          <w:i/>
          <w:sz w:val="22"/>
          <w:szCs w:val="22"/>
        </w:rPr>
        <w:t xml:space="preserve">Textová časť – </w:t>
      </w:r>
      <w:r w:rsidR="00274F6C" w:rsidRPr="00274F6C">
        <w:rPr>
          <w:rFonts w:ascii="Cambria" w:hAnsi="Cambria"/>
          <w:bCs/>
          <w:i/>
          <w:sz w:val="22"/>
          <w:szCs w:val="22"/>
        </w:rPr>
        <w:t>Príklad</w:t>
      </w:r>
      <w:r w:rsidR="00274F6C" w:rsidRPr="00274F6C">
        <w:rPr>
          <w:rFonts w:ascii="Cambria" w:hAnsi="Cambria"/>
          <w:i/>
          <w:sz w:val="22"/>
          <w:szCs w:val="22"/>
        </w:rPr>
        <w:t xml:space="preserve"> v zmysle aktuálnej Metodiky na vypracovanie PHSR obce</w:t>
      </w:r>
    </w:p>
    <w:p w:rsidR="008E0F8F" w:rsidRDefault="008E0F8F" w:rsidP="00406EFF">
      <w:pPr>
        <w:pStyle w:val="Default"/>
        <w:rPr>
          <w:rFonts w:ascii="Cambria" w:hAnsi="Cambria"/>
          <w:i/>
          <w:sz w:val="22"/>
          <w:szCs w:val="22"/>
        </w:rPr>
      </w:pPr>
    </w:p>
    <w:p w:rsidR="008E0F8F" w:rsidRPr="00274F6C" w:rsidRDefault="008E0F8F" w:rsidP="00406EFF">
      <w:pPr>
        <w:pStyle w:val="Default"/>
        <w:rPr>
          <w:rFonts w:ascii="Cambria" w:hAnsi="Cambria"/>
          <w:bCs/>
          <w:i/>
          <w:sz w:val="22"/>
          <w:szCs w:val="22"/>
        </w:rPr>
      </w:pPr>
    </w:p>
    <w:p w:rsidR="00406EFF" w:rsidRDefault="008E0F8F" w:rsidP="008E0F8F">
      <w:pPr>
        <w:pStyle w:val="Default"/>
        <w:spacing w:after="240" w:line="276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*</w:t>
      </w:r>
      <w:r w:rsidR="00406EFF" w:rsidRPr="00274F6C">
        <w:rPr>
          <w:rFonts w:ascii="Cambria" w:hAnsi="Cambria"/>
          <w:b/>
          <w:bCs/>
          <w:sz w:val="22"/>
          <w:szCs w:val="22"/>
        </w:rPr>
        <w:t>Opis realizácie aktivít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406EFF" w:rsidRPr="00274F6C">
        <w:rPr>
          <w:rFonts w:ascii="Cambria" w:hAnsi="Cambria"/>
          <w:b/>
          <w:bCs/>
          <w:sz w:val="22"/>
          <w:szCs w:val="22"/>
        </w:rPr>
        <w:t xml:space="preserve"> a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406EFF" w:rsidRPr="00274F6C">
        <w:rPr>
          <w:rFonts w:ascii="Cambria" w:hAnsi="Cambria"/>
          <w:b/>
          <w:bCs/>
          <w:sz w:val="22"/>
          <w:szCs w:val="22"/>
        </w:rPr>
        <w:t xml:space="preserve"> plán na obdobie od .... do .... </w:t>
      </w:r>
    </w:p>
    <w:p w:rsidR="008E0F8F" w:rsidRPr="00274F6C" w:rsidRDefault="008E0F8F" w:rsidP="008E0F8F">
      <w:pPr>
        <w:pStyle w:val="Default"/>
        <w:spacing w:after="240" w:line="276" w:lineRule="auto"/>
        <w:rPr>
          <w:rFonts w:ascii="Cambria" w:hAnsi="Cambria"/>
          <w:sz w:val="22"/>
          <w:szCs w:val="22"/>
        </w:rPr>
      </w:pPr>
    </w:p>
    <w:p w:rsidR="00406EFF" w:rsidRPr="00274F6C" w:rsidRDefault="00406EFF" w:rsidP="008E0F8F">
      <w:pPr>
        <w:pStyle w:val="Default"/>
        <w:spacing w:after="240" w:line="276" w:lineRule="auto"/>
        <w:rPr>
          <w:rFonts w:ascii="Cambria" w:hAnsi="Cambria"/>
          <w:sz w:val="22"/>
          <w:szCs w:val="22"/>
        </w:rPr>
      </w:pPr>
      <w:r w:rsidRPr="00274F6C">
        <w:rPr>
          <w:rFonts w:ascii="Cambria" w:hAnsi="Cambria"/>
          <w:sz w:val="22"/>
          <w:szCs w:val="22"/>
        </w:rPr>
        <w:t xml:space="preserve">A. 2.1.1 Zvýšiť počet odborníkov v psychologickom a špeciálnom- pedagogickom poradenstve pre potreby školstva </w:t>
      </w:r>
    </w:p>
    <w:p w:rsidR="00406EFF" w:rsidRPr="00274F6C" w:rsidRDefault="00406EFF" w:rsidP="008E0F8F">
      <w:pPr>
        <w:pStyle w:val="Default"/>
        <w:spacing w:after="240" w:line="276" w:lineRule="auto"/>
        <w:rPr>
          <w:rFonts w:ascii="Cambria" w:hAnsi="Cambria"/>
          <w:sz w:val="22"/>
          <w:szCs w:val="22"/>
        </w:rPr>
      </w:pPr>
      <w:r w:rsidRPr="00274F6C">
        <w:rPr>
          <w:rFonts w:ascii="Cambria" w:hAnsi="Cambria"/>
          <w:sz w:val="22"/>
          <w:szCs w:val="22"/>
        </w:rPr>
        <w:t xml:space="preserve">V rozpočte na rok 2012 je plánovaná suma 6000 € pre každú ZŠ, čo znamená polovičný úväzok pre špeciálneho pedagóga v každej ZŠ. ZŠ zriadia tieto pozície od septembra 2012 a vytvoria dohodu o zdieľaní pozícií. </w:t>
      </w:r>
    </w:p>
    <w:p w:rsidR="00406EFF" w:rsidRDefault="00406EFF" w:rsidP="008E0F8F">
      <w:pPr>
        <w:pStyle w:val="Default"/>
        <w:spacing w:after="240" w:line="276" w:lineRule="auto"/>
        <w:rPr>
          <w:rFonts w:ascii="Cambria" w:hAnsi="Cambria"/>
          <w:sz w:val="22"/>
          <w:szCs w:val="22"/>
        </w:rPr>
      </w:pPr>
      <w:r w:rsidRPr="00274F6C">
        <w:rPr>
          <w:rFonts w:ascii="Cambria" w:hAnsi="Cambria"/>
          <w:b/>
          <w:bCs/>
          <w:sz w:val="22"/>
          <w:szCs w:val="22"/>
        </w:rPr>
        <w:t>Plán 2012</w:t>
      </w:r>
      <w:r w:rsidRPr="00274F6C">
        <w:rPr>
          <w:rFonts w:ascii="Cambria" w:hAnsi="Cambria"/>
          <w:sz w:val="22"/>
          <w:szCs w:val="22"/>
        </w:rPr>
        <w:t xml:space="preserve">: do rozpočtu na rok 2013 naplánovať financie pre 3 miesta školských psychológov pre ZŠ. </w:t>
      </w:r>
    </w:p>
    <w:p w:rsidR="008E0F8F" w:rsidRPr="00274F6C" w:rsidRDefault="008E0F8F" w:rsidP="008E0F8F">
      <w:pPr>
        <w:pStyle w:val="Default"/>
        <w:spacing w:after="240" w:line="276" w:lineRule="auto"/>
        <w:rPr>
          <w:rFonts w:ascii="Cambria" w:hAnsi="Cambria"/>
          <w:sz w:val="22"/>
          <w:szCs w:val="22"/>
        </w:rPr>
      </w:pPr>
    </w:p>
    <w:p w:rsidR="00406EFF" w:rsidRPr="00274F6C" w:rsidRDefault="00406EFF" w:rsidP="008E0F8F">
      <w:pPr>
        <w:pStyle w:val="Default"/>
        <w:spacing w:after="240" w:line="276" w:lineRule="auto"/>
        <w:rPr>
          <w:rFonts w:ascii="Cambria" w:hAnsi="Cambria"/>
          <w:sz w:val="22"/>
          <w:szCs w:val="22"/>
        </w:rPr>
      </w:pPr>
      <w:r w:rsidRPr="00274F6C">
        <w:rPr>
          <w:rFonts w:ascii="Cambria" w:hAnsi="Cambria"/>
          <w:sz w:val="22"/>
          <w:szCs w:val="22"/>
        </w:rPr>
        <w:t xml:space="preserve">A. 2.1.2 Vytvoriť systém podpory tvorby a realizácie veľkých projektov v školstve </w:t>
      </w:r>
    </w:p>
    <w:p w:rsidR="00406EFF" w:rsidRPr="00274F6C" w:rsidRDefault="00406EFF" w:rsidP="008E0F8F">
      <w:pPr>
        <w:pStyle w:val="Default"/>
        <w:spacing w:after="240" w:line="276" w:lineRule="auto"/>
        <w:rPr>
          <w:rFonts w:ascii="Cambria" w:hAnsi="Cambria"/>
          <w:sz w:val="22"/>
          <w:szCs w:val="22"/>
        </w:rPr>
      </w:pPr>
      <w:r w:rsidRPr="00274F6C">
        <w:rPr>
          <w:rFonts w:ascii="Cambria" w:hAnsi="Cambria"/>
          <w:sz w:val="22"/>
          <w:szCs w:val="22"/>
        </w:rPr>
        <w:t xml:space="preserve">V rozpočte pre školstvo sú plánované financie na väčšie projekty a spoluúčasť na projektoch (35 000 €). Ďalšie financie na tento účel sú v rozpočte mesta. V roku 2012 bol udelený súhlas k finančnej spoluúčasti mesta v sume 1 320 € pre 8 MŠ, ktoré podali žiadosti o financovanie </w:t>
      </w:r>
      <w:bookmarkStart w:id="0" w:name="_GoBack"/>
      <w:bookmarkEnd w:id="0"/>
      <w:r w:rsidRPr="00274F6C">
        <w:rPr>
          <w:rFonts w:ascii="Cambria" w:hAnsi="Cambria"/>
          <w:sz w:val="22"/>
          <w:szCs w:val="22"/>
        </w:rPr>
        <w:t xml:space="preserve">z grantov v sume 26 400 €. Žiadosti sú v súčasnosti v procese posudzovania. </w:t>
      </w:r>
    </w:p>
    <w:p w:rsidR="00406EFF" w:rsidRPr="00274F6C" w:rsidRDefault="00406EFF" w:rsidP="008E0F8F">
      <w:pPr>
        <w:pStyle w:val="Default"/>
        <w:spacing w:after="240" w:line="276" w:lineRule="auto"/>
        <w:rPr>
          <w:rFonts w:ascii="Cambria" w:hAnsi="Cambria"/>
          <w:sz w:val="22"/>
          <w:szCs w:val="22"/>
        </w:rPr>
      </w:pPr>
      <w:r w:rsidRPr="00274F6C">
        <w:rPr>
          <w:rFonts w:ascii="Cambria" w:hAnsi="Cambria"/>
          <w:b/>
          <w:bCs/>
          <w:sz w:val="22"/>
          <w:szCs w:val="22"/>
        </w:rPr>
        <w:t xml:space="preserve">Plán 2012: </w:t>
      </w:r>
      <w:r w:rsidRPr="00274F6C">
        <w:rPr>
          <w:rFonts w:ascii="Cambria" w:hAnsi="Cambria"/>
          <w:sz w:val="22"/>
          <w:szCs w:val="22"/>
        </w:rPr>
        <w:t xml:space="preserve">v rozpočte na rok 2013 zvýšiť sumu na projekty v rozpočte pre školstvo v sume 70 000 € (vytvoriť aj vlastný projekt). </w:t>
      </w:r>
    </w:p>
    <w:p w:rsidR="00274F6C" w:rsidRDefault="00274F6C" w:rsidP="00406EFF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274F6C" w:rsidRDefault="00274F6C" w:rsidP="00406EFF">
      <w:pPr>
        <w:pStyle w:val="Default"/>
        <w:rPr>
          <w:rFonts w:ascii="Cambria" w:hAnsi="Cambria"/>
          <w:b/>
          <w:bCs/>
          <w:sz w:val="22"/>
          <w:szCs w:val="22"/>
        </w:rPr>
      </w:pPr>
    </w:p>
    <w:sectPr w:rsidR="00274F6C" w:rsidSect="00274F6C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F6A" w:rsidRDefault="00BB1F6A" w:rsidP="00406EFF">
      <w:pPr>
        <w:spacing w:after="0" w:line="240" w:lineRule="auto"/>
      </w:pPr>
      <w:r>
        <w:separator/>
      </w:r>
    </w:p>
  </w:endnote>
  <w:endnote w:type="continuationSeparator" w:id="0">
    <w:p w:rsidR="00BB1F6A" w:rsidRDefault="00BB1F6A" w:rsidP="0040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70" w:rsidRDefault="00B54070" w:rsidP="00B54070">
    <w:pPr>
      <w:pStyle w:val="Pta"/>
      <w:pBdr>
        <w:bottom w:val="single" w:sz="6" w:space="1" w:color="auto"/>
      </w:pBdr>
      <w:jc w:val="right"/>
      <w:rPr>
        <w:rFonts w:asciiTheme="majorHAnsi" w:hAnsiTheme="majorHAnsi"/>
        <w:color w:val="808080" w:themeColor="background1" w:themeShade="80"/>
        <w:sz w:val="18"/>
        <w:szCs w:val="18"/>
      </w:rPr>
    </w:pPr>
  </w:p>
  <w:p w:rsidR="00B54070" w:rsidRPr="00B54070" w:rsidRDefault="00B54070" w:rsidP="00B54070">
    <w:pPr>
      <w:pStyle w:val="Pta"/>
      <w:jc w:val="right"/>
      <w:rPr>
        <w:rFonts w:asciiTheme="majorHAnsi" w:hAnsiTheme="majorHAnsi"/>
        <w:i w:val="0"/>
        <w:color w:val="808080" w:themeColor="background1" w:themeShade="80"/>
        <w:sz w:val="18"/>
        <w:szCs w:val="18"/>
      </w:rPr>
    </w:pPr>
    <w:r w:rsidRPr="00B54070">
      <w:rPr>
        <w:rFonts w:asciiTheme="majorHAnsi" w:hAnsiTheme="majorHAnsi"/>
        <w:i w:val="0"/>
        <w:color w:val="808080" w:themeColor="background1" w:themeShade="80"/>
        <w:sz w:val="18"/>
        <w:szCs w:val="18"/>
      </w:rPr>
      <w:t xml:space="preserve">Program hospodárskeho a sociálneho rozvoja  obce </w:t>
    </w:r>
    <w:r w:rsidR="00D62AEF">
      <w:rPr>
        <w:rFonts w:asciiTheme="majorHAnsi" w:hAnsiTheme="majorHAnsi"/>
        <w:i w:val="0"/>
        <w:color w:val="808080" w:themeColor="background1" w:themeShade="80"/>
        <w:sz w:val="18"/>
        <w:szCs w:val="18"/>
      </w:rPr>
      <w:t>Buková</w:t>
    </w:r>
    <w:r w:rsidRPr="00B54070">
      <w:rPr>
        <w:rFonts w:asciiTheme="majorHAnsi" w:hAnsiTheme="majorHAnsi"/>
        <w:i w:val="0"/>
        <w:color w:val="808080" w:themeColor="background1" w:themeShade="80"/>
        <w:sz w:val="18"/>
        <w:szCs w:val="18"/>
      </w:rPr>
      <w:t xml:space="preserve"> na roky 2015 - 2020</w:t>
    </w:r>
  </w:p>
  <w:p w:rsidR="00406EFF" w:rsidRPr="00406EFF" w:rsidRDefault="00406EFF" w:rsidP="00B54070">
    <w:pPr>
      <w:pStyle w:val="Pta"/>
      <w:rPr>
        <w:rFonts w:asciiTheme="majorHAnsi" w:hAnsiTheme="majorHAnsi"/>
        <w:color w:val="808080" w:themeColor="background1" w:themeShade="80"/>
        <w:sz w:val="18"/>
        <w:szCs w:val="18"/>
      </w:rPr>
    </w:pPr>
  </w:p>
  <w:p w:rsidR="00406EFF" w:rsidRDefault="00406EF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70" w:rsidRDefault="00B54070" w:rsidP="00B54070">
    <w:pPr>
      <w:pStyle w:val="Pta"/>
      <w:pBdr>
        <w:bottom w:val="single" w:sz="6" w:space="1" w:color="auto"/>
      </w:pBdr>
      <w:jc w:val="right"/>
      <w:rPr>
        <w:rFonts w:asciiTheme="majorHAnsi" w:hAnsiTheme="majorHAnsi"/>
        <w:color w:val="808080" w:themeColor="background1" w:themeShade="80"/>
        <w:sz w:val="18"/>
        <w:szCs w:val="18"/>
      </w:rPr>
    </w:pPr>
  </w:p>
  <w:p w:rsidR="00B54070" w:rsidRPr="00B54070" w:rsidRDefault="00B54070" w:rsidP="00B54070">
    <w:pPr>
      <w:pStyle w:val="Pta"/>
      <w:jc w:val="right"/>
      <w:rPr>
        <w:rFonts w:asciiTheme="majorHAnsi" w:hAnsiTheme="majorHAnsi"/>
        <w:i w:val="0"/>
        <w:color w:val="808080" w:themeColor="background1" w:themeShade="80"/>
        <w:sz w:val="18"/>
        <w:szCs w:val="18"/>
      </w:rPr>
    </w:pPr>
    <w:r w:rsidRPr="00B54070">
      <w:rPr>
        <w:rFonts w:asciiTheme="majorHAnsi" w:hAnsiTheme="majorHAnsi"/>
        <w:i w:val="0"/>
        <w:color w:val="808080" w:themeColor="background1" w:themeShade="80"/>
        <w:sz w:val="18"/>
        <w:szCs w:val="18"/>
      </w:rPr>
      <w:t xml:space="preserve">Program hospodárskeho a sociálneho rozvoja  obce </w:t>
    </w:r>
    <w:r w:rsidR="00D62AEF">
      <w:rPr>
        <w:rFonts w:asciiTheme="majorHAnsi" w:hAnsiTheme="majorHAnsi"/>
        <w:i w:val="0"/>
        <w:color w:val="808080" w:themeColor="background1" w:themeShade="80"/>
        <w:sz w:val="18"/>
        <w:szCs w:val="18"/>
      </w:rPr>
      <w:t>Buková</w:t>
    </w:r>
    <w:r w:rsidR="007E02B3">
      <w:rPr>
        <w:rFonts w:asciiTheme="majorHAnsi" w:hAnsiTheme="majorHAnsi"/>
        <w:i w:val="0"/>
        <w:color w:val="808080" w:themeColor="background1" w:themeShade="80"/>
        <w:sz w:val="18"/>
        <w:szCs w:val="18"/>
      </w:rPr>
      <w:t xml:space="preserve"> </w:t>
    </w:r>
    <w:r w:rsidRPr="00B54070">
      <w:rPr>
        <w:rFonts w:asciiTheme="majorHAnsi" w:hAnsiTheme="majorHAnsi"/>
        <w:i w:val="0"/>
        <w:color w:val="808080" w:themeColor="background1" w:themeShade="80"/>
        <w:sz w:val="18"/>
        <w:szCs w:val="18"/>
      </w:rPr>
      <w:t>na roky 2015 - 2020</w:t>
    </w:r>
  </w:p>
  <w:p w:rsidR="008E0F8F" w:rsidRPr="00B54070" w:rsidRDefault="008E0F8F" w:rsidP="00B540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F6A" w:rsidRDefault="00BB1F6A" w:rsidP="00406EFF">
      <w:pPr>
        <w:spacing w:after="0" w:line="240" w:lineRule="auto"/>
      </w:pPr>
      <w:r>
        <w:separator/>
      </w:r>
    </w:p>
  </w:footnote>
  <w:footnote w:type="continuationSeparator" w:id="0">
    <w:p w:rsidR="00BB1F6A" w:rsidRDefault="00BB1F6A" w:rsidP="0040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FF" w:rsidRPr="00B54070" w:rsidRDefault="00406EFF" w:rsidP="00406EFF">
    <w:pPr>
      <w:pStyle w:val="Hlavika"/>
      <w:pBdr>
        <w:bottom w:val="single" w:sz="6" w:space="1" w:color="auto"/>
      </w:pBdr>
      <w:jc w:val="right"/>
      <w:rPr>
        <w:rFonts w:ascii="Cambria" w:hAnsi="Cambria"/>
        <w:i w:val="0"/>
      </w:rPr>
    </w:pPr>
    <w:r w:rsidRPr="00B54070">
      <w:rPr>
        <w:rFonts w:ascii="Cambria" w:hAnsi="Cambria"/>
        <w:i w:val="0"/>
        <w:color w:val="808080" w:themeColor="background1" w:themeShade="80"/>
      </w:rPr>
      <w:t xml:space="preserve">Príloha č.6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74" w:rsidRPr="00B54070" w:rsidRDefault="00F81174" w:rsidP="00F81174">
    <w:pPr>
      <w:pStyle w:val="Hlavika"/>
      <w:pBdr>
        <w:bottom w:val="single" w:sz="6" w:space="1" w:color="auto"/>
      </w:pBdr>
      <w:jc w:val="right"/>
      <w:rPr>
        <w:rFonts w:ascii="Cambria" w:hAnsi="Cambria"/>
        <w:i w:val="0"/>
      </w:rPr>
    </w:pPr>
    <w:r w:rsidRPr="00B54070">
      <w:rPr>
        <w:rFonts w:ascii="Cambria" w:hAnsi="Cambria"/>
        <w:i w:val="0"/>
        <w:color w:val="808080" w:themeColor="background1" w:themeShade="80"/>
      </w:rPr>
      <w:t xml:space="preserve">Príloha č.6 </w:t>
    </w:r>
  </w:p>
  <w:p w:rsidR="00F81174" w:rsidRPr="00F81174" w:rsidRDefault="00F81174" w:rsidP="00F8117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FF"/>
    <w:rsid w:val="00107754"/>
    <w:rsid w:val="001D0F3E"/>
    <w:rsid w:val="00226BC2"/>
    <w:rsid w:val="00274F6C"/>
    <w:rsid w:val="003A40B2"/>
    <w:rsid w:val="003A65CD"/>
    <w:rsid w:val="003E5B7A"/>
    <w:rsid w:val="00406EFF"/>
    <w:rsid w:val="006656E7"/>
    <w:rsid w:val="007E02B3"/>
    <w:rsid w:val="008E0F8F"/>
    <w:rsid w:val="00B54070"/>
    <w:rsid w:val="00BB1F6A"/>
    <w:rsid w:val="00CD05A0"/>
    <w:rsid w:val="00D62AEF"/>
    <w:rsid w:val="00DC1D34"/>
    <w:rsid w:val="00F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A1E1BA-54F3-477E-A1DD-249A730C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7754"/>
    <w:rPr>
      <w:i/>
      <w:iCs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7754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7754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7754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7754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07754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107754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7754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77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77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7754"/>
    <w:rPr>
      <w:rFonts w:asciiTheme="majorHAnsi" w:eastAsiaTheme="majorEastAsia" w:hAnsiTheme="majorHAnsi" w:cstheme="majorBidi"/>
      <w:b/>
      <w:bCs/>
      <w:i/>
      <w:iCs/>
      <w:color w:val="514B3D" w:themeColor="accent2" w:themeShade="7F"/>
      <w:shd w:val="clear" w:color="auto" w:fill="ECEAE5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107754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rsid w:val="00107754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rsid w:val="00107754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107754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107754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7754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7754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7754"/>
    <w:rPr>
      <w:rFonts w:asciiTheme="majorHAnsi" w:eastAsiaTheme="majorEastAsia" w:hAnsiTheme="majorHAnsi" w:cstheme="majorBidi"/>
      <w:i/>
      <w:iCs/>
      <w:color w:val="A09781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07754"/>
    <w:rPr>
      <w:b/>
      <w:bCs/>
      <w:color w:val="7B725D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107754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1077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7754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07754"/>
    <w:rPr>
      <w:rFonts w:asciiTheme="majorHAnsi" w:eastAsiaTheme="majorEastAsia" w:hAnsiTheme="majorHAnsi" w:cstheme="majorBidi"/>
      <w:i/>
      <w:iCs/>
      <w:color w:val="514B3D" w:themeColor="accent2" w:themeShade="7F"/>
      <w:sz w:val="24"/>
      <w:szCs w:val="24"/>
    </w:rPr>
  </w:style>
  <w:style w:type="character" w:styleId="Siln">
    <w:name w:val="Strong"/>
    <w:uiPriority w:val="22"/>
    <w:qFormat/>
    <w:rsid w:val="00107754"/>
    <w:rPr>
      <w:b/>
      <w:bCs/>
      <w:spacing w:val="0"/>
    </w:rPr>
  </w:style>
  <w:style w:type="character" w:styleId="Zvraznenie">
    <w:name w:val="Emphasis"/>
    <w:uiPriority w:val="20"/>
    <w:qFormat/>
    <w:rsid w:val="00107754"/>
    <w:rPr>
      <w:rFonts w:asciiTheme="majorHAnsi" w:eastAsiaTheme="majorEastAsia" w:hAnsiTheme="majorHAnsi" w:cstheme="majorBidi"/>
      <w:b/>
      <w:bCs/>
      <w:i/>
      <w:iCs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Bezriadkovania">
    <w:name w:val="No Spacing"/>
    <w:basedOn w:val="Normlny"/>
    <w:uiPriority w:val="1"/>
    <w:qFormat/>
    <w:rsid w:val="0010775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07754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107754"/>
    <w:rPr>
      <w:i w:val="0"/>
      <w:iCs w:val="0"/>
      <w:color w:val="7B725D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107754"/>
    <w:rPr>
      <w:color w:val="7B725D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7754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7754"/>
    <w:rPr>
      <w:rFonts w:asciiTheme="majorHAnsi" w:eastAsiaTheme="majorEastAsia" w:hAnsiTheme="majorHAnsi" w:cstheme="majorBidi"/>
      <w:b/>
      <w:bCs/>
      <w:i/>
      <w:iCs/>
      <w:color w:val="A09781" w:themeColor="accent2"/>
      <w:sz w:val="20"/>
      <w:szCs w:val="20"/>
    </w:rPr>
  </w:style>
  <w:style w:type="character" w:styleId="Jemnzvraznenie">
    <w:name w:val="Subtle Emphasis"/>
    <w:uiPriority w:val="19"/>
    <w:qFormat/>
    <w:rsid w:val="00107754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styleId="Intenzvnezvraznenie">
    <w:name w:val="Intense Emphasis"/>
    <w:uiPriority w:val="21"/>
    <w:qFormat/>
    <w:rsid w:val="001077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Jemnodkaz">
    <w:name w:val="Subtle Reference"/>
    <w:uiPriority w:val="31"/>
    <w:qFormat/>
    <w:rsid w:val="00107754"/>
    <w:rPr>
      <w:i/>
      <w:iCs/>
      <w:smallCaps/>
      <w:color w:val="A09781" w:themeColor="accent2"/>
      <w:u w:color="A09781" w:themeColor="accent2"/>
    </w:rPr>
  </w:style>
  <w:style w:type="character" w:styleId="Intenzvnyodkaz">
    <w:name w:val="Intense Reference"/>
    <w:uiPriority w:val="32"/>
    <w:qFormat/>
    <w:rsid w:val="00107754"/>
    <w:rPr>
      <w:b/>
      <w:bCs/>
      <w:i/>
      <w:iCs/>
      <w:smallCaps/>
      <w:color w:val="A09781" w:themeColor="accent2"/>
      <w:u w:color="A09781" w:themeColor="accent2"/>
    </w:rPr>
  </w:style>
  <w:style w:type="character" w:styleId="Nzovknihy">
    <w:name w:val="Book Title"/>
    <w:uiPriority w:val="33"/>
    <w:qFormat/>
    <w:rsid w:val="00107754"/>
    <w:rPr>
      <w:rFonts w:asciiTheme="majorHAnsi" w:eastAsiaTheme="majorEastAsia" w:hAnsiTheme="majorHAnsi" w:cstheme="majorBidi"/>
      <w:b/>
      <w:bCs/>
      <w:i/>
      <w:iCs/>
      <w:smallCaps/>
      <w:color w:val="7B725D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07754"/>
    <w:pPr>
      <w:outlineLvl w:val="9"/>
    </w:pPr>
    <w:rPr>
      <w:lang w:bidi="en-US"/>
    </w:rPr>
  </w:style>
  <w:style w:type="paragraph" w:customStyle="1" w:styleId="Default">
    <w:name w:val="Default"/>
    <w:rsid w:val="00406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0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EFF"/>
    <w:rPr>
      <w:i/>
      <w:iCs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0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EFF"/>
    <w:rPr>
      <w:i/>
      <w:i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17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Svet módy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2685-0537-4AAA-B2A9-9D7FBB93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</dc:creator>
  <cp:lastModifiedBy>MMI</cp:lastModifiedBy>
  <cp:revision>3</cp:revision>
  <dcterms:created xsi:type="dcterms:W3CDTF">2015-09-19T18:37:00Z</dcterms:created>
  <dcterms:modified xsi:type="dcterms:W3CDTF">2015-09-19T18:38:00Z</dcterms:modified>
</cp:coreProperties>
</file>